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28DA" w14:textId="77777777" w:rsidR="00B60CB0" w:rsidRDefault="00000000">
      <w:bookmarkStart w:id="0" w:name="_Hlk193784563"/>
      <w:r>
        <w:t>LIBRO DE SESIONES XLIX. TOMO III. Maldonado 18 de marzo de 2025</w:t>
      </w:r>
    </w:p>
    <w:p w14:paraId="236D1A86" w14:textId="77777777" w:rsidR="00B60CB0" w:rsidRDefault="00000000">
      <w:pPr>
        <w:spacing w:after="241" w:line="240" w:lineRule="auto"/>
        <w:ind w:left="315" w:right="0" w:firstLine="0"/>
        <w:jc w:val="left"/>
      </w:pPr>
      <w:r>
        <w:rPr>
          <w:b/>
          <w:u w:val="single" w:color="000000"/>
        </w:rPr>
        <w:t xml:space="preserve">Decreto </w:t>
      </w:r>
      <w:proofErr w:type="spellStart"/>
      <w:r>
        <w:rPr>
          <w:b/>
          <w:u w:val="single" w:color="000000"/>
        </w:rPr>
        <w:t>Nº</w:t>
      </w:r>
      <w:proofErr w:type="spellEnd"/>
      <w:r>
        <w:rPr>
          <w:b/>
          <w:u w:val="single" w:color="000000"/>
        </w:rPr>
        <w:t xml:space="preserve"> 4104/2025</w:t>
      </w:r>
    </w:p>
    <w:p w14:paraId="2B9F4CAA" w14:textId="77777777" w:rsidR="00B60CB0" w:rsidRDefault="00000000">
      <w:r>
        <w:rPr>
          <w:b/>
          <w:u w:val="single" w:color="000000"/>
        </w:rPr>
        <w:t>VISTO:</w:t>
      </w:r>
      <w:r>
        <w:t xml:space="preserve"> El Expediente </w:t>
      </w:r>
      <w:proofErr w:type="spellStart"/>
      <w:r>
        <w:t>Nº</w:t>
      </w:r>
      <w:proofErr w:type="spellEnd"/>
      <w:r>
        <w:t xml:space="preserve"> 79/2025 y con lo informado por la Comisión de Legislación que este Cuerpo comparte</w:t>
      </w:r>
    </w:p>
    <w:p w14:paraId="194CE243" w14:textId="77777777" w:rsidR="00B60CB0" w:rsidRDefault="00000000">
      <w:pPr>
        <w:spacing w:after="541" w:line="240" w:lineRule="auto"/>
        <w:ind w:left="0" w:right="0" w:firstLine="0"/>
        <w:jc w:val="center"/>
      </w:pPr>
      <w:r>
        <w:rPr>
          <w:b/>
          <w:i/>
        </w:rPr>
        <w:t xml:space="preserve">LA JUNTA DEPARTAMENTAL EN SESIÓN DE LA FECHA, </w:t>
      </w:r>
      <w:r>
        <w:rPr>
          <w:b/>
          <w:i/>
          <w:u w:val="single" w:color="000000"/>
        </w:rPr>
        <w:t>DECRETA:</w:t>
      </w:r>
    </w:p>
    <w:p w14:paraId="3590E946" w14:textId="77777777" w:rsidR="00B60CB0" w:rsidRDefault="00000000">
      <w:pPr>
        <w:ind w:right="294"/>
      </w:pPr>
      <w:r>
        <w:t>“</w:t>
      </w:r>
      <w:r>
        <w:rPr>
          <w:b/>
          <w:u w:val="single" w:color="000000"/>
        </w:rPr>
        <w:t>Artículo 1º)</w:t>
      </w:r>
      <w:r>
        <w:t xml:space="preserve"> – Se podrá instalar en espacios públicos cartelería y publicidad de naturaleza política electoral o similar dentro de los 30 (treinta) días anteriores a las Elecciones Internas de los Partidos Políticos, Nacionales, Departamentales o Municipales y de eventuales </w:t>
      </w:r>
      <w:proofErr w:type="spellStart"/>
      <w:r>
        <w:t>Referendums</w:t>
      </w:r>
      <w:proofErr w:type="spellEnd"/>
      <w:r>
        <w:t xml:space="preserve"> o Plebiscitos, en los términos establecidos por el presente Decreto. Los mismos deberán ser retirados dentro de las 48 (cuarenta y ocho) horas posteriores a la celebración de los actos electorales y/o consultas antes referenciadas.</w:t>
      </w:r>
    </w:p>
    <w:p w14:paraId="13520078" w14:textId="77777777" w:rsidR="00B60CB0" w:rsidRDefault="00000000">
      <w:r>
        <w:rPr>
          <w:b/>
          <w:u w:val="single" w:color="000000"/>
        </w:rPr>
        <w:t>Artículo 2º)</w:t>
      </w:r>
      <w:r>
        <w:t xml:space="preserve"> – </w:t>
      </w:r>
      <w:proofErr w:type="spellStart"/>
      <w:r>
        <w:t>Autorízase</w:t>
      </w:r>
      <w:proofErr w:type="spellEnd"/>
      <w:r>
        <w:t xml:space="preserve"> la instalación de cartelería de naturaleza política electoral o similar en las columnas existentes con una superficie máxima de 0,60 por 0,50 </w:t>
      </w:r>
      <w:proofErr w:type="spellStart"/>
      <w:r>
        <w:t>mts</w:t>
      </w:r>
      <w:proofErr w:type="spellEnd"/>
      <w:r>
        <w:t>.</w:t>
      </w:r>
    </w:p>
    <w:p w14:paraId="4BE8AD7F" w14:textId="77777777" w:rsidR="00B60CB0" w:rsidRDefault="00000000">
      <w:r>
        <w:rPr>
          <w:b/>
          <w:u w:val="single" w:color="000000"/>
        </w:rPr>
        <w:t xml:space="preserve">Artículo </w:t>
      </w:r>
      <w:proofErr w:type="gramStart"/>
      <w:r>
        <w:rPr>
          <w:b/>
          <w:u w:val="single" w:color="000000"/>
        </w:rPr>
        <w:t>3º</w:t>
      </w:r>
      <w:r>
        <w:t>)  –</w:t>
      </w:r>
      <w:proofErr w:type="gramEnd"/>
      <w:r>
        <w:t xml:space="preserve"> </w:t>
      </w:r>
      <w:proofErr w:type="spellStart"/>
      <w:r>
        <w:t>Prohíbese</w:t>
      </w:r>
      <w:proofErr w:type="spellEnd"/>
      <w:r>
        <w:t xml:space="preserve"> :</w:t>
      </w:r>
    </w:p>
    <w:p w14:paraId="3854B9ED" w14:textId="77777777" w:rsidR="00B60CB0" w:rsidRDefault="00000000">
      <w:pPr>
        <w:numPr>
          <w:ilvl w:val="0"/>
          <w:numId w:val="1"/>
        </w:numPr>
        <w:ind w:right="294"/>
      </w:pPr>
      <w:r>
        <w:t>la instalación y colocación de pasacalles, banderas y banderines, afiches y cualquier tipo cartel adosado al equipamiento urbano, a los pavimentos de veredas, plazas, canteros o a las columnas existentes;</w:t>
      </w:r>
    </w:p>
    <w:p w14:paraId="256D9C4E" w14:textId="77777777" w:rsidR="00B60CB0" w:rsidRDefault="00000000">
      <w:pPr>
        <w:numPr>
          <w:ilvl w:val="0"/>
          <w:numId w:val="1"/>
        </w:numPr>
        <w:ind w:right="294"/>
      </w:pPr>
      <w:r>
        <w:t xml:space="preserve">el pintado de publicidad o propaganda en los elementos que forman parte del equipamiento urbano </w:t>
      </w:r>
      <w:proofErr w:type="gramStart"/>
      <w:r>
        <w:t>( señales</w:t>
      </w:r>
      <w:proofErr w:type="gramEnd"/>
      <w:r>
        <w:t xml:space="preserve"> de tránsito, veredas, cordones y pavimentos viales, puentes, alcantarillas, edificios públicos o patrimoniales, arbolado, columnas de alumbrado y otros elementos que integren el mismo);</w:t>
      </w:r>
    </w:p>
    <w:p w14:paraId="791222B1" w14:textId="77777777" w:rsidR="00B60CB0" w:rsidRDefault="00000000">
      <w:pPr>
        <w:numPr>
          <w:ilvl w:val="0"/>
          <w:numId w:val="1"/>
        </w:numPr>
        <w:ind w:right="294"/>
      </w:pPr>
      <w:r>
        <w:t xml:space="preserve">la permanencia de cartelería política instalada sobre elementos móviles tipo </w:t>
      </w:r>
      <w:proofErr w:type="spellStart"/>
      <w:r>
        <w:t>trailer</w:t>
      </w:r>
      <w:proofErr w:type="spellEnd"/>
      <w:r>
        <w:t xml:space="preserve"> (sin tracción propia). Cualquier otro tipo de vehículo que contenga publicidad electoral no podrá estar estacionado más de 48 </w:t>
      </w:r>
      <w:proofErr w:type="gramStart"/>
      <w:r>
        <w:t>( cuarenta</w:t>
      </w:r>
      <w:proofErr w:type="gramEnd"/>
      <w:r>
        <w:t xml:space="preserve"> y ocho) horas en un mismo sitio.</w:t>
      </w:r>
    </w:p>
    <w:p w14:paraId="47C9CFA5" w14:textId="77777777" w:rsidR="00B60CB0" w:rsidRDefault="00000000">
      <w:pPr>
        <w:ind w:right="294"/>
      </w:pPr>
      <w:r>
        <w:rPr>
          <w:b/>
          <w:u w:val="single" w:color="000000"/>
        </w:rPr>
        <w:t>Artículo 4º)</w:t>
      </w:r>
      <w:r>
        <w:t xml:space="preserve"> – </w:t>
      </w:r>
      <w:proofErr w:type="spellStart"/>
      <w:r>
        <w:t>Dispónese</w:t>
      </w:r>
      <w:proofErr w:type="spellEnd"/>
      <w:r>
        <w:t xml:space="preserve"> prohibir la instalación de todo tipo de publicidad y propaganda de naturaleza política electoral o similar en: </w:t>
      </w:r>
      <w:r>
        <w:rPr>
          <w:b/>
        </w:rPr>
        <w:t>4.1</w:t>
      </w:r>
      <w:r>
        <w:t xml:space="preserve"> - </w:t>
      </w:r>
      <w:r>
        <w:rPr>
          <w:u w:val="single" w:color="000000"/>
        </w:rPr>
        <w:t>Áreas turísticas.</w:t>
      </w:r>
    </w:p>
    <w:p w14:paraId="242FC3C9" w14:textId="77777777" w:rsidR="00B60CB0" w:rsidRDefault="00000000">
      <w:pPr>
        <w:numPr>
          <w:ilvl w:val="0"/>
          <w:numId w:val="2"/>
        </w:numPr>
        <w:ind w:hanging="245"/>
      </w:pPr>
      <w:r>
        <w:t>Localidad Punta del Este.</w:t>
      </w:r>
    </w:p>
    <w:p w14:paraId="5776BD80" w14:textId="77777777" w:rsidR="00B60CB0" w:rsidRDefault="00000000">
      <w:pPr>
        <w:numPr>
          <w:ilvl w:val="0"/>
          <w:numId w:val="2"/>
        </w:numPr>
        <w:ind w:hanging="245"/>
      </w:pPr>
      <w:r>
        <w:t>Faro de José Ignacio y La Juanita.</w:t>
      </w:r>
    </w:p>
    <w:p w14:paraId="0150BC48" w14:textId="77777777" w:rsidR="00B60CB0" w:rsidRDefault="00000000">
      <w:pPr>
        <w:numPr>
          <w:ilvl w:val="0"/>
          <w:numId w:val="2"/>
        </w:numPr>
        <w:ind w:hanging="245"/>
      </w:pPr>
      <w:r>
        <w:t>La Barra y Manantiales: Ramblas.</w:t>
      </w:r>
    </w:p>
    <w:p w14:paraId="1153D566" w14:textId="77777777" w:rsidR="00B60CB0" w:rsidRDefault="00000000">
      <w:pPr>
        <w:numPr>
          <w:ilvl w:val="0"/>
          <w:numId w:val="2"/>
        </w:numPr>
        <w:ind w:hanging="245"/>
      </w:pPr>
      <w:r>
        <w:t>Balneario Buenos Aires: calle 49. e) Piriápolis: Avenidas, Ramblas y Plazas Públicas.</w:t>
      </w:r>
    </w:p>
    <w:p w14:paraId="582E6938" w14:textId="77777777" w:rsidR="00B60CB0" w:rsidRDefault="00000000">
      <w:pPr>
        <w:spacing w:after="241" w:line="240" w:lineRule="auto"/>
        <w:ind w:left="315" w:right="0" w:firstLine="0"/>
        <w:jc w:val="left"/>
      </w:pPr>
      <w:r>
        <w:rPr>
          <w:b/>
        </w:rPr>
        <w:t>4.2</w:t>
      </w:r>
      <w:r>
        <w:t xml:space="preserve"> – </w:t>
      </w:r>
      <w:r>
        <w:rPr>
          <w:u w:val="single" w:color="000000"/>
        </w:rPr>
        <w:t xml:space="preserve">Áreas </w:t>
      </w:r>
      <w:proofErr w:type="gramStart"/>
      <w:r>
        <w:rPr>
          <w:u w:val="single" w:color="000000"/>
        </w:rPr>
        <w:t xml:space="preserve">Patrimoniales  </w:t>
      </w:r>
      <w:r>
        <w:t>y</w:t>
      </w:r>
      <w:proofErr w:type="gramEnd"/>
      <w:r>
        <w:t xml:space="preserve"> </w:t>
      </w:r>
      <w:r>
        <w:rPr>
          <w:u w:val="single" w:color="000000"/>
        </w:rPr>
        <w:t xml:space="preserve"> de  protección del  paisa </w:t>
      </w:r>
      <w:r>
        <w:t xml:space="preserve">j </w:t>
      </w:r>
      <w:r>
        <w:rPr>
          <w:u w:val="single" w:color="000000"/>
        </w:rPr>
        <w:t>e.</w:t>
      </w:r>
    </w:p>
    <w:p w14:paraId="07877369" w14:textId="77777777" w:rsidR="00B60CB0" w:rsidRDefault="00000000">
      <w:pPr>
        <w:numPr>
          <w:ilvl w:val="0"/>
          <w:numId w:val="3"/>
        </w:numPr>
        <w:ind w:hanging="271"/>
      </w:pPr>
      <w:r>
        <w:t>Pueblo Garzón.</w:t>
      </w:r>
    </w:p>
    <w:p w14:paraId="726327B5" w14:textId="77777777" w:rsidR="00B60CB0" w:rsidRDefault="00000000">
      <w:pPr>
        <w:numPr>
          <w:ilvl w:val="0"/>
          <w:numId w:val="3"/>
        </w:numPr>
        <w:spacing w:after="91" w:line="240" w:lineRule="auto"/>
        <w:ind w:hanging="271"/>
      </w:pPr>
      <w:r>
        <w:t xml:space="preserve">San Carlos: Centro delimitado por Avda. Rocha, Avda. Tomás Berreta, Avda. Dr. Andrés </w:t>
      </w:r>
      <w:proofErr w:type="spellStart"/>
      <w:r>
        <w:t>Ceberio</w:t>
      </w:r>
      <w:proofErr w:type="spellEnd"/>
      <w:r>
        <w:t xml:space="preserve"> y Avda.</w:t>
      </w:r>
    </w:p>
    <w:p w14:paraId="60F73D2B" w14:textId="77777777" w:rsidR="00B60CB0" w:rsidRDefault="00000000">
      <w:r>
        <w:t>Ejido, Rambla Gral. José G. Artigas y todas las Plazas Públicas.</w:t>
      </w:r>
    </w:p>
    <w:p w14:paraId="07F2828D" w14:textId="77777777" w:rsidR="00B60CB0" w:rsidRDefault="00000000">
      <w:pPr>
        <w:numPr>
          <w:ilvl w:val="0"/>
          <w:numId w:val="3"/>
        </w:numPr>
        <w:ind w:hanging="271"/>
      </w:pPr>
      <w:r>
        <w:t xml:space="preserve">Maldonado: Centro definido por Avda. Franklin D. Roosevelt, Avda. José Joaquín de Viana, Avda. Brig. Gral. Juan A. Lavalleja, 19 de Abril y Avda. Martiniano </w:t>
      </w:r>
      <w:proofErr w:type="spellStart"/>
      <w:r>
        <w:t>Chiossi</w:t>
      </w:r>
      <w:proofErr w:type="spellEnd"/>
      <w:r>
        <w:t>, incluyendo fuera de esta zona a las Vías Principales definidas en el TONE, al Bulevar Gral. José G. Artigas, la Avenida Dr. Luis A. de Herrera (Perimetral) y las Plazas Públicas.</w:t>
      </w:r>
    </w:p>
    <w:p w14:paraId="7D870C39" w14:textId="77777777" w:rsidR="00B60CB0" w:rsidRDefault="00000000">
      <w:pPr>
        <w:numPr>
          <w:ilvl w:val="0"/>
          <w:numId w:val="3"/>
        </w:numPr>
        <w:ind w:hanging="271"/>
      </w:pPr>
      <w:proofErr w:type="spellStart"/>
      <w:r>
        <w:t>Aiguá</w:t>
      </w:r>
      <w:proofErr w:type="spellEnd"/>
      <w:r>
        <w:t>: Casco histórico definido en el TONE y Avenidas y Plazas Públicas.</w:t>
      </w:r>
    </w:p>
    <w:p w14:paraId="40ECDEF8" w14:textId="77777777" w:rsidR="00B60CB0" w:rsidRDefault="00000000">
      <w:pPr>
        <w:numPr>
          <w:ilvl w:val="0"/>
          <w:numId w:val="3"/>
        </w:numPr>
        <w:spacing w:after="695"/>
        <w:ind w:hanging="271"/>
      </w:pPr>
      <w:r>
        <w:t>Pan de Azúcar: Avenidas, Ramblas y Plazas Públicas. 4.3 - Caminería rural y Rutas de Jurisdicción Departamental.</w:t>
      </w:r>
    </w:p>
    <w:p w14:paraId="6201E646" w14:textId="77777777" w:rsidR="00B60CB0" w:rsidRDefault="00000000">
      <w:pPr>
        <w:ind w:right="294"/>
      </w:pPr>
      <w:r>
        <w:rPr>
          <w:b/>
          <w:u w:val="single" w:color="000000"/>
        </w:rPr>
        <w:lastRenderedPageBreak/>
        <w:t>Artículo 5º)</w:t>
      </w:r>
      <w:r>
        <w:t xml:space="preserve"> – Los Partidos, las Agrupaciones Políticas o de otra naturaleza cuyos nombres o imágenes de sus candidatos y/o referentes estén contenidas en la publicidad o propaganda identificada en el presente Decreto, serán responsables por el eventual incumplimiento del mismo.</w:t>
      </w:r>
    </w:p>
    <w:p w14:paraId="7DEBFA8B" w14:textId="77777777" w:rsidR="00B60CB0" w:rsidRDefault="00000000">
      <w:pPr>
        <w:ind w:right="294"/>
      </w:pPr>
      <w:r>
        <w:rPr>
          <w:b/>
          <w:u w:val="single" w:color="000000"/>
        </w:rPr>
        <w:t>Artículo 6º)</w:t>
      </w:r>
      <w:r>
        <w:t xml:space="preserve"> – El incumplimiento a las disposiciones contenidas en el presente Decreto, será notificado a los infractores responsables, pudiendo la Intendencia proceder al retiro de la cartelería o su pintado, así como la aplicación de una sanción de 0,5 Unidades Reajustables por metro cuadrado o fracción de cartelería instalada y por día de permanencia, pudiendo ser incrementada en un 50% (cincuenta por ciento) por cada reincidencia constatada.</w:t>
      </w:r>
    </w:p>
    <w:p w14:paraId="60F7B502" w14:textId="77777777" w:rsidR="00B60CB0" w:rsidRDefault="00000000">
      <w:pPr>
        <w:ind w:right="294"/>
      </w:pPr>
      <w:r>
        <w:rPr>
          <w:b/>
          <w:u w:val="single" w:color="000000"/>
        </w:rPr>
        <w:t>Artículo 7º)</w:t>
      </w:r>
      <w:r>
        <w:t xml:space="preserve"> – En caso de actos o movilizaciones de cualquier naturaleza, debidamente autorizados por la Intendencia, se podrá instalar cartelería y publicidad en espacios públicos (sin afectar los elementos de equipamiento urbano), de forma transitoria, desde 48 (cuarenta y ocho) horas previas a la realización de los mismos. La publicidad o propaganda antedicha deberá ser retirada dentro de las 48 (cuarenta y ocho) horas siguientes a la finalización del acto o movilización. El incumplimiento de lo antedicho, dará lugar al retiro de las mismas por parte de la Intendencia y a la aplicación al infractor responsable del evento de una sanción de 5 Unidades Reajustables, pudiendo ser incrementada en un 50% (cincuenta por ciento) por cada reincidencia constatada.</w:t>
      </w:r>
    </w:p>
    <w:p w14:paraId="19E7FA27" w14:textId="77777777" w:rsidR="00B60CB0" w:rsidRDefault="00000000">
      <w:r>
        <w:rPr>
          <w:b/>
          <w:u w:val="single" w:color="000000"/>
        </w:rPr>
        <w:t>Artículo 8º)</w:t>
      </w:r>
      <w:r>
        <w:t xml:space="preserve"> – </w:t>
      </w:r>
      <w:proofErr w:type="spellStart"/>
      <w:r>
        <w:t>Déjase</w:t>
      </w:r>
      <w:proofErr w:type="spellEnd"/>
      <w:r>
        <w:t xml:space="preserve"> sin efecto toda disposición que se oponga al presente Decreto”.</w:t>
      </w:r>
    </w:p>
    <w:p w14:paraId="73745746" w14:textId="77777777" w:rsidR="00B60CB0" w:rsidRDefault="00000000">
      <w:pPr>
        <w:spacing w:after="391"/>
      </w:pPr>
      <w:r>
        <w:t>Siga al Ejecutivo Departamental, a sus efectos.</w:t>
      </w:r>
    </w:p>
    <w:p w14:paraId="5144FF9B" w14:textId="77777777" w:rsidR="00B60CB0" w:rsidRDefault="00000000">
      <w:pPr>
        <w:spacing w:after="91" w:line="246" w:lineRule="auto"/>
        <w:ind w:left="10"/>
        <w:jc w:val="center"/>
      </w:pPr>
      <w:r>
        <w:rPr>
          <w:i/>
        </w:rPr>
        <w:t>Verónica Robaina</w:t>
      </w:r>
    </w:p>
    <w:p w14:paraId="5F0EBBCB" w14:textId="77777777" w:rsidR="00B60CB0" w:rsidRDefault="00000000">
      <w:pPr>
        <w:spacing w:after="241" w:line="246" w:lineRule="auto"/>
        <w:ind w:left="10"/>
        <w:jc w:val="center"/>
      </w:pPr>
      <w:r>
        <w:rPr>
          <w:i/>
        </w:rPr>
        <w:t>Presidente</w:t>
      </w:r>
    </w:p>
    <w:p w14:paraId="53473675" w14:textId="77777777" w:rsidR="00B60CB0" w:rsidRDefault="00000000">
      <w:pPr>
        <w:spacing w:after="8195"/>
        <w:ind w:left="2803" w:right="5584" w:firstLine="163"/>
        <w:jc w:val="left"/>
      </w:pPr>
      <w:r>
        <w:rPr>
          <w:i/>
        </w:rPr>
        <w:t>Susana Hualde Secretaria General</w:t>
      </w:r>
    </w:p>
    <w:p w14:paraId="6E010CEE" w14:textId="77777777" w:rsidR="00B60CB0" w:rsidRDefault="00000000">
      <w:pPr>
        <w:spacing w:after="0" w:line="246" w:lineRule="auto"/>
        <w:ind w:left="-5"/>
        <w:jc w:val="left"/>
      </w:pPr>
      <w:r>
        <w:rPr>
          <w:sz w:val="16"/>
        </w:rPr>
        <w:lastRenderedPageBreak/>
        <w:t>https://juntamaldonado.uy/decretos/index.html</w:t>
      </w:r>
      <w:r>
        <w:rPr>
          <w:sz w:val="16"/>
        </w:rPr>
        <w:tab/>
        <w:t>2/2</w:t>
      </w:r>
      <w:bookmarkEnd w:id="0"/>
    </w:p>
    <w:sectPr w:rsidR="00B60CB0">
      <w:pgSz w:w="11899" w:h="16838"/>
      <w:pgMar w:top="334" w:right="475" w:bottom="29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518FF"/>
    <w:multiLevelType w:val="hybridMultilevel"/>
    <w:tmpl w:val="63CE29FC"/>
    <w:lvl w:ilvl="0" w:tplc="F6D25A56">
      <w:start w:val="1"/>
      <w:numFmt w:val="lowerLetter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D8E158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4AB64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529080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443D86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8E927E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AE5326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C81402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8AE7AE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938B2"/>
    <w:multiLevelType w:val="hybridMultilevel"/>
    <w:tmpl w:val="72EC4A72"/>
    <w:lvl w:ilvl="0" w:tplc="823A921A">
      <w:start w:val="1"/>
      <w:numFmt w:val="lowerLetter"/>
      <w:lvlText w:val="%1)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547092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3E4B0E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4E12A6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60EC16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10A580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40BA98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8EC8D2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961ECA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410889"/>
    <w:multiLevelType w:val="hybridMultilevel"/>
    <w:tmpl w:val="4910632E"/>
    <w:lvl w:ilvl="0" w:tplc="67CEC5D4">
      <w:start w:val="1"/>
      <w:numFmt w:val="lowerLetter"/>
      <w:lvlText w:val="%1)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C8625E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EE7D66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4E7318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86D12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38CBF8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8C567E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F61814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848F08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10362">
    <w:abstractNumId w:val="2"/>
  </w:num>
  <w:num w:numId="2" w16cid:durableId="355926733">
    <w:abstractNumId w:val="1"/>
  </w:num>
  <w:num w:numId="3" w16cid:durableId="12102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B0"/>
    <w:rsid w:val="00473F73"/>
    <w:rsid w:val="00872A47"/>
    <w:rsid w:val="00B60CB0"/>
    <w:rsid w:val="00E40B21"/>
    <w:rsid w:val="00F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2851"/>
  <w15:docId w15:val="{69219F49-3901-4BCC-A76B-5E58082F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Y" w:eastAsia="es-U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 w:line="291" w:lineRule="auto"/>
      <w:ind w:left="310" w:right="-15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 Decreto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 Decreto</dc:title>
  <dc:subject/>
  <dc:creator>Ricardo Almada de Mora</dc:creator>
  <cp:keywords/>
  <cp:lastModifiedBy>Ricardo Almada de Mora</cp:lastModifiedBy>
  <cp:revision>2</cp:revision>
  <dcterms:created xsi:type="dcterms:W3CDTF">2025-03-25T13:12:00Z</dcterms:created>
  <dcterms:modified xsi:type="dcterms:W3CDTF">2025-03-25T13:12:00Z</dcterms:modified>
</cp:coreProperties>
</file>